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F8DA2" w14:textId="77777777" w:rsidR="004D5EAE" w:rsidRDefault="004D5EAE" w:rsidP="004D5EAE">
      <w:pPr>
        <w:jc w:val="center"/>
        <w:rPr>
          <w:rFonts w:ascii="Times New Roman" w:hAnsi="Times New Roman" w:cs="Times New Roman"/>
          <w:b/>
          <w:bCs/>
          <w:sz w:val="26"/>
          <w:szCs w:val="26"/>
        </w:rPr>
      </w:pPr>
      <w:r w:rsidRPr="004D5EAE">
        <w:rPr>
          <w:rFonts w:ascii="Times New Roman" w:hAnsi="Times New Roman" w:cs="Times New Roman"/>
          <w:b/>
          <w:bCs/>
          <w:sz w:val="26"/>
          <w:szCs w:val="26"/>
        </w:rPr>
        <w:t>SỔ TAY HOÀN THUẾ GTGT 2026:</w:t>
      </w:r>
    </w:p>
    <w:p w14:paraId="31C4208C" w14:textId="3F8FBE2D" w:rsidR="004D5EAE" w:rsidRDefault="004D5EAE" w:rsidP="004D5EAE">
      <w:pPr>
        <w:jc w:val="center"/>
        <w:rPr>
          <w:rFonts w:ascii="Times New Roman" w:hAnsi="Times New Roman" w:cs="Times New Roman"/>
          <w:b/>
          <w:bCs/>
          <w:sz w:val="26"/>
          <w:szCs w:val="26"/>
        </w:rPr>
      </w:pPr>
      <w:r w:rsidRPr="004D5EAE">
        <w:rPr>
          <w:rFonts w:ascii="Times New Roman" w:hAnsi="Times New Roman" w:cs="Times New Roman"/>
          <w:b/>
          <w:bCs/>
          <w:sz w:val="26"/>
          <w:szCs w:val="26"/>
        </w:rPr>
        <w:t>TÀI LIỆU HƯỚNG DẪN DOANH NGHIỆP CẦN BIẾT</w:t>
      </w:r>
    </w:p>
    <w:p w14:paraId="7CD7C6B9" w14:textId="77777777" w:rsidR="004D5EAE" w:rsidRPr="004D5EAE" w:rsidRDefault="004D5EAE" w:rsidP="004D5EAE">
      <w:pPr>
        <w:jc w:val="center"/>
        <w:rPr>
          <w:rFonts w:ascii="Times New Roman" w:hAnsi="Times New Roman" w:cs="Times New Roman"/>
          <w:b/>
          <w:bCs/>
          <w:sz w:val="26"/>
          <w:szCs w:val="26"/>
        </w:rPr>
      </w:pPr>
    </w:p>
    <w:p w14:paraId="4C215C6C"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Thuế TP. Hà Nội giới thiệu Sổ tay hoàn thuế giá trị gia tăng dành cho người nộp thuế, hỗ trợ doanh nghiệp cập nhật quy định mới, chuẩn bị hồ sơ và thực hiện thủ tục hoàn thuế đúng quy định.</w:t>
      </w:r>
    </w:p>
    <w:p w14:paraId="36E3729A"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Hoàn thuế giá trị gia tăng (GTGT) là một trong những chính sách thuế có ý nghĩa quan trọng đối với hoạt động tài chính của doanh nghiệp, đặc biệt là các doanh nghiệp xuất khẩu, doanh nghiệp có dự án đầu tư và các trường hợp phát sinh số thuế GTGT đầu vào đủ điều kiện hoàn.</w:t>
      </w:r>
    </w:p>
    <w:p w14:paraId="4EB04FD7"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 xml:space="preserve">Nhằm hỗ trợ người nộp thuế tiếp cận và thực hiện đúng các quy định mới, </w:t>
      </w:r>
      <w:r w:rsidRPr="004D5EAE">
        <w:rPr>
          <w:rFonts w:ascii="Times New Roman" w:hAnsi="Times New Roman" w:cs="Times New Roman"/>
          <w:b/>
          <w:bCs/>
          <w:sz w:val="26"/>
          <w:szCs w:val="26"/>
        </w:rPr>
        <w:t>Thuế TP. Hà Nội đã biên soạn “Sổ tay hoàn thuế GTGT dành cho Người nộp thuế”</w:t>
      </w:r>
      <w:r w:rsidRPr="004D5EAE">
        <w:rPr>
          <w:rFonts w:ascii="Times New Roman" w:hAnsi="Times New Roman" w:cs="Times New Roman"/>
          <w:sz w:val="26"/>
          <w:szCs w:val="26"/>
        </w:rPr>
        <w:t>, cung cấp hướng dẫn về điều kiện, hồ sơ, thủ tục và quy trình giải quyết hoàn thuế.</w:t>
      </w:r>
    </w:p>
    <w:p w14:paraId="5CF3D966"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THTAX cập nhật và giới thiệu tài liệu để Quý doanh nghiệp thuận tiện tra cứu, chủ động rà soát hồ sơ và hạn chế những sai sót trong quá trình thực hiện thủ tục hoàn thuế.</w:t>
      </w:r>
    </w:p>
    <w:p w14:paraId="11E80648" w14:textId="77777777" w:rsidR="004D5EAE" w:rsidRPr="004D5EAE" w:rsidRDefault="004D5EAE" w:rsidP="004D5EAE">
      <w:pPr>
        <w:jc w:val="both"/>
        <w:rPr>
          <w:rFonts w:ascii="Times New Roman" w:hAnsi="Times New Roman" w:cs="Times New Roman"/>
          <w:b/>
          <w:bCs/>
          <w:sz w:val="26"/>
          <w:szCs w:val="26"/>
        </w:rPr>
      </w:pPr>
      <w:r w:rsidRPr="004D5EAE">
        <w:rPr>
          <w:rFonts w:ascii="Times New Roman" w:hAnsi="Times New Roman" w:cs="Times New Roman"/>
          <w:b/>
          <w:bCs/>
          <w:sz w:val="26"/>
          <w:szCs w:val="26"/>
        </w:rPr>
        <w:t>1. Cập nhật chính sách hoàn thuế GTGT năm 2026</w:t>
      </w:r>
    </w:p>
    <w:p w14:paraId="0D45C509"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Việc ban hành các văn bản pháp luật mới về quản lý thuế đã tạo cơ sở cho việc tiếp tục cải cách thủ tục hành chính, tăng cường giao dịch điện tử và nâng cao hiệu quả giải quyết hồ sơ hoàn thuế.</w:t>
      </w:r>
    </w:p>
    <w:p w14:paraId="48A4ABAF"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Một số văn bản được đề cập trong tài liệu gồm:</w:t>
      </w:r>
    </w:p>
    <w:p w14:paraId="705B2200" w14:textId="77777777" w:rsidR="004D5EAE" w:rsidRPr="004D5EAE" w:rsidRDefault="004D5EAE" w:rsidP="004D5EAE">
      <w:pPr>
        <w:numPr>
          <w:ilvl w:val="0"/>
          <w:numId w:val="1"/>
        </w:numPr>
        <w:jc w:val="both"/>
        <w:rPr>
          <w:rFonts w:ascii="Times New Roman" w:hAnsi="Times New Roman" w:cs="Times New Roman"/>
          <w:sz w:val="26"/>
          <w:szCs w:val="26"/>
        </w:rPr>
      </w:pPr>
      <w:r w:rsidRPr="004D5EAE">
        <w:rPr>
          <w:rFonts w:ascii="Times New Roman" w:hAnsi="Times New Roman" w:cs="Times New Roman"/>
          <w:b/>
          <w:bCs/>
          <w:sz w:val="26"/>
          <w:szCs w:val="26"/>
        </w:rPr>
        <w:t>Luật Quản lý thuế số 108/2025/QH15 ngày 10/12/2025.</w:t>
      </w:r>
    </w:p>
    <w:p w14:paraId="73345A80" w14:textId="77777777" w:rsidR="004D5EAE" w:rsidRPr="004D5EAE" w:rsidRDefault="004D5EAE" w:rsidP="004D5EAE">
      <w:pPr>
        <w:numPr>
          <w:ilvl w:val="0"/>
          <w:numId w:val="1"/>
        </w:numPr>
        <w:jc w:val="both"/>
        <w:rPr>
          <w:rFonts w:ascii="Times New Roman" w:hAnsi="Times New Roman" w:cs="Times New Roman"/>
          <w:sz w:val="26"/>
          <w:szCs w:val="26"/>
        </w:rPr>
      </w:pPr>
      <w:r w:rsidRPr="004D5EAE">
        <w:rPr>
          <w:rFonts w:ascii="Times New Roman" w:hAnsi="Times New Roman" w:cs="Times New Roman"/>
          <w:b/>
          <w:bCs/>
          <w:sz w:val="26"/>
          <w:szCs w:val="26"/>
        </w:rPr>
        <w:t>Nghị định số 252/2026/NĐ-CP ngày 30/06/2026.</w:t>
      </w:r>
    </w:p>
    <w:p w14:paraId="3A80CE1F" w14:textId="77777777" w:rsidR="004D5EAE" w:rsidRPr="004D5EAE" w:rsidRDefault="004D5EAE" w:rsidP="004D5EAE">
      <w:pPr>
        <w:numPr>
          <w:ilvl w:val="0"/>
          <w:numId w:val="1"/>
        </w:numPr>
        <w:jc w:val="both"/>
        <w:rPr>
          <w:rFonts w:ascii="Times New Roman" w:hAnsi="Times New Roman" w:cs="Times New Roman"/>
          <w:sz w:val="26"/>
          <w:szCs w:val="26"/>
        </w:rPr>
      </w:pPr>
      <w:r w:rsidRPr="004D5EAE">
        <w:rPr>
          <w:rFonts w:ascii="Times New Roman" w:hAnsi="Times New Roman" w:cs="Times New Roman"/>
          <w:b/>
          <w:bCs/>
          <w:sz w:val="26"/>
          <w:szCs w:val="26"/>
        </w:rPr>
        <w:t>Thông tư số 89/2026/TT-BTC ngày 30/06/2026.</w:t>
      </w:r>
    </w:p>
    <w:p w14:paraId="7A704B35"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Sổ tay được biên soạn nhằm hỗ trợ người nộp thuế thực hiện các quy định về hoàn thuế GTGT trong giai đoạn chuyển tiếp, trước khi cơ quan thuế có thông báo chính thức về việc áp dụng thống nhất trên Hệ thống thông tin quản lý thuế.</w:t>
      </w:r>
    </w:p>
    <w:p w14:paraId="41022930" w14:textId="77777777" w:rsidR="004D5EAE" w:rsidRPr="004D5EAE" w:rsidRDefault="004D5EAE" w:rsidP="004D5EAE">
      <w:pPr>
        <w:jc w:val="both"/>
        <w:rPr>
          <w:rFonts w:ascii="Times New Roman" w:hAnsi="Times New Roman" w:cs="Times New Roman"/>
          <w:b/>
          <w:bCs/>
          <w:sz w:val="26"/>
          <w:szCs w:val="26"/>
        </w:rPr>
      </w:pPr>
      <w:r w:rsidRPr="004D5EAE">
        <w:rPr>
          <w:rFonts w:ascii="Times New Roman" w:hAnsi="Times New Roman" w:cs="Times New Roman"/>
          <w:b/>
          <w:bCs/>
          <w:sz w:val="26"/>
          <w:szCs w:val="26"/>
        </w:rPr>
        <w:t>2. Những nội dung đáng chú ý trong Sổ tay hoàn thuế GTGT</w:t>
      </w:r>
    </w:p>
    <w:p w14:paraId="0AF2F6E0"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 xml:space="preserve">Tài liệu được hệ thống thành </w:t>
      </w:r>
      <w:r w:rsidRPr="004D5EAE">
        <w:rPr>
          <w:rFonts w:ascii="Times New Roman" w:hAnsi="Times New Roman" w:cs="Times New Roman"/>
          <w:b/>
          <w:bCs/>
          <w:sz w:val="26"/>
          <w:szCs w:val="26"/>
        </w:rPr>
        <w:t>04 nhóm nội dung chính</w:t>
      </w:r>
      <w:r w:rsidRPr="004D5EAE">
        <w:rPr>
          <w:rFonts w:ascii="Times New Roman" w:hAnsi="Times New Roman" w:cs="Times New Roman"/>
          <w:sz w:val="26"/>
          <w:szCs w:val="26"/>
        </w:rPr>
        <w:t>:</w:t>
      </w:r>
    </w:p>
    <w:p w14:paraId="25F59A16"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Phần 1. Những điểm mới liên quan đến hồ sơ hoàn thuế GTGT</w:t>
      </w:r>
    </w:p>
    <w:p w14:paraId="5A2505FF"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lastRenderedPageBreak/>
        <w:t>Giới thiệu các nội dung cập nhật về tiếp nhận, giải quyết, phân loại hồ sơ hoàn thuế; hồ sơ hoàn thuế đối với hàng hóa xuất khẩu, dự án đầu tư và các trường hợp đặc thù.</w:t>
      </w:r>
    </w:p>
    <w:p w14:paraId="5963F6D4"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Phần 2. Quy định chung về hoàn thuế GTGT</w:t>
      </w:r>
    </w:p>
    <w:p w14:paraId="6B011222"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Tổng hợp các trường hợp được hoàn thuế, điều kiện áp dụng, hồ sơ cần chuẩn bị, trình tự thủ tục và thời gian giải quyết theo quy định.</w:t>
      </w:r>
    </w:p>
    <w:p w14:paraId="23218A81"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Phần 3. Hướng dẫn hoàn thuế GTGT theo từng trường hợp</w:t>
      </w:r>
    </w:p>
    <w:p w14:paraId="58CB3CEC"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Hướng dẫn đối với các trường hợp như hàng hóa, dịch vụ xuất khẩu; dự án đầu tư; hoạt động sản xuất, cung cấp hàng hóa, dịch vụ chịu thuế suất 5%; giải thể, phá sản và một số trường hợp đặc thù khác.</w:t>
      </w:r>
    </w:p>
    <w:p w14:paraId="07ECFD35"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Phần 4. Những lỗi thường gặp và nội dung cần kiểm tra trước khi nộp hồ sơ</w:t>
      </w:r>
    </w:p>
    <w:p w14:paraId="29BA9B12"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Đề cập các tình huống xác định chưa đúng trường hợp hoặc điều kiện hoàn thuế, đồng thời cung cấp danh mục kiểm tra giúp người nộp thuế chủ động rà soát hồ sơ.</w:t>
      </w:r>
    </w:p>
    <w:p w14:paraId="76DBB995" w14:textId="77777777" w:rsidR="004D5EAE" w:rsidRPr="004D5EAE" w:rsidRDefault="004D5EAE" w:rsidP="004D5EAE">
      <w:pPr>
        <w:jc w:val="both"/>
        <w:rPr>
          <w:rFonts w:ascii="Times New Roman" w:hAnsi="Times New Roman" w:cs="Times New Roman"/>
          <w:b/>
          <w:bCs/>
          <w:sz w:val="26"/>
          <w:szCs w:val="26"/>
        </w:rPr>
      </w:pPr>
      <w:r w:rsidRPr="004D5EAE">
        <w:rPr>
          <w:rFonts w:ascii="Times New Roman" w:hAnsi="Times New Roman" w:cs="Times New Roman"/>
          <w:b/>
          <w:bCs/>
          <w:sz w:val="26"/>
          <w:szCs w:val="26"/>
        </w:rPr>
        <w:t>3. THTAX khuyến nghị doanh nghiệp cần lưu ý gì?</w:t>
      </w:r>
    </w:p>
    <w:p w14:paraId="666B843C"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Để hạn chế việc phải giải trình, bổ sung hoặc điều chỉnh hồ sơ hoàn thuế, THTAX khuyến nghị doanh nghiệp chú trọng các nội dung sau:</w:t>
      </w:r>
    </w:p>
    <w:p w14:paraId="45BCDC6B"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Thứ nhất, xác định đúng trường hợp và điều kiện được hoàn thuế.</w:t>
      </w:r>
      <w:r w:rsidRPr="004D5EAE">
        <w:rPr>
          <w:rFonts w:ascii="Times New Roman" w:hAnsi="Times New Roman" w:cs="Times New Roman"/>
          <w:sz w:val="26"/>
          <w:szCs w:val="26"/>
        </w:rPr>
        <w:t xml:space="preserve"> Không phải mọi khoản thuế GTGT đầu vào chưa khấu trừ hết đều đủ điều kiện hoàn. Doanh nghiệp cần xác định rõ căn cứ pháp lý áp dụng cho hoạt động của mình.</w:t>
      </w:r>
    </w:p>
    <w:p w14:paraId="7960E0EA"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Thứ hai, rà soát tính đầy đủ và thống nhất của hồ sơ.</w:t>
      </w:r>
      <w:r w:rsidRPr="004D5EAE">
        <w:rPr>
          <w:rFonts w:ascii="Times New Roman" w:hAnsi="Times New Roman" w:cs="Times New Roman"/>
          <w:sz w:val="26"/>
          <w:szCs w:val="26"/>
        </w:rPr>
        <w:t xml:space="preserve"> Cần đối chiếu hóa đơn, chứng từ thanh toán, hợp đồng, tờ khai thuế, dữ liệu kế toán và các tài liệu liên quan theo từng trường hợp hoàn thuế.</w:t>
      </w:r>
    </w:p>
    <w:p w14:paraId="14A16E5E"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Thứ ba, kiểm tra các giao dịch có nguy cơ phát sinh rủi ro.</w:t>
      </w:r>
      <w:r w:rsidRPr="004D5EAE">
        <w:rPr>
          <w:rFonts w:ascii="Times New Roman" w:hAnsi="Times New Roman" w:cs="Times New Roman"/>
          <w:sz w:val="26"/>
          <w:szCs w:val="26"/>
        </w:rPr>
        <w:t xml:space="preserve"> Đặc biệt lưu ý tính hợp pháp của hóa đơn, chứng từ, điều kiện thanh toán và các giao dịch có số liệu chưa thống nhất.</w:t>
      </w:r>
    </w:p>
    <w:p w14:paraId="1013BB48"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Thứ tư, chuẩn bị hồ sơ giải trình và theo dõi tiến độ xử lý.</w:t>
      </w:r>
      <w:r w:rsidRPr="004D5EAE">
        <w:rPr>
          <w:rFonts w:ascii="Times New Roman" w:hAnsi="Times New Roman" w:cs="Times New Roman"/>
          <w:sz w:val="26"/>
          <w:szCs w:val="26"/>
        </w:rPr>
        <w:t xml:space="preserve"> Doanh nghiệp nên lưu trữ đầy đủ tài liệu, theo dõi thông báo từ cơ quan thuế và kịp thời phối hợp khi có yêu cầu bổ sung thông tin.</w:t>
      </w:r>
    </w:p>
    <w:p w14:paraId="6004764C"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Việc chuẩn bị hồ sơ ngay từ đầu không chỉ giúp doanh nghiệp chủ động hơn trong quá trình đề nghị hoàn thuế mà còn góp phần hạn chế rủi ro về kê khai và tuân thủ pháp luật thuế.</w:t>
      </w:r>
    </w:p>
    <w:p w14:paraId="263B23D8" w14:textId="77777777" w:rsidR="004D5EAE" w:rsidRPr="004D5EAE" w:rsidRDefault="004D5EAE" w:rsidP="004D5EAE">
      <w:pPr>
        <w:jc w:val="both"/>
        <w:rPr>
          <w:rFonts w:ascii="Times New Roman" w:hAnsi="Times New Roman" w:cs="Times New Roman"/>
          <w:b/>
          <w:bCs/>
          <w:sz w:val="26"/>
          <w:szCs w:val="26"/>
        </w:rPr>
      </w:pPr>
      <w:r w:rsidRPr="004D5EAE">
        <w:rPr>
          <w:rFonts w:ascii="Times New Roman" w:hAnsi="Times New Roman" w:cs="Times New Roman"/>
          <w:b/>
          <w:bCs/>
          <w:sz w:val="26"/>
          <w:szCs w:val="26"/>
        </w:rPr>
        <w:t>4. Tài liệu hướng dẫn: Sổ tay hoàn thuế GTGT dành cho Người nộp thuế</w:t>
      </w:r>
    </w:p>
    <w:p w14:paraId="45DACDF7"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t>Đơn vị biên soạn:</w:t>
      </w:r>
      <w:r w:rsidRPr="004D5EAE">
        <w:rPr>
          <w:rFonts w:ascii="Times New Roman" w:hAnsi="Times New Roman" w:cs="Times New Roman"/>
          <w:sz w:val="26"/>
          <w:szCs w:val="26"/>
        </w:rPr>
        <w:t xml:space="preserve"> Thuế TP. Hà Nội</w:t>
      </w:r>
    </w:p>
    <w:p w14:paraId="761C54EB"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b/>
          <w:bCs/>
          <w:sz w:val="26"/>
          <w:szCs w:val="26"/>
        </w:rPr>
        <w:lastRenderedPageBreak/>
        <w:t>Tài liệu hướng dẫn chính thức được giới thiệu tại các đường dẫn:</w:t>
      </w:r>
    </w:p>
    <w:p w14:paraId="37F2B38F" w14:textId="77777777" w:rsidR="004D5EAE" w:rsidRPr="004D5EAE" w:rsidRDefault="004D5EAE" w:rsidP="004D5EAE">
      <w:pPr>
        <w:numPr>
          <w:ilvl w:val="0"/>
          <w:numId w:val="2"/>
        </w:numPr>
        <w:jc w:val="both"/>
        <w:rPr>
          <w:rFonts w:ascii="Times New Roman" w:hAnsi="Times New Roman" w:cs="Times New Roman"/>
          <w:sz w:val="26"/>
          <w:szCs w:val="26"/>
        </w:rPr>
      </w:pPr>
      <w:r w:rsidRPr="004D5EAE">
        <w:rPr>
          <w:rFonts w:ascii="Times New Roman" w:hAnsi="Times New Roman" w:cs="Times New Roman"/>
          <w:b/>
          <w:bCs/>
          <w:sz w:val="26"/>
          <w:szCs w:val="26"/>
        </w:rPr>
        <w:t>Xem Sổ tay trực tuyến:</w:t>
      </w:r>
      <w:r w:rsidRPr="004D5EAE">
        <w:rPr>
          <w:rFonts w:ascii="Times New Roman" w:hAnsi="Times New Roman" w:cs="Times New Roman"/>
          <w:sz w:val="26"/>
          <w:szCs w:val="26"/>
        </w:rPr>
        <w:t xml:space="preserve"> </w:t>
      </w:r>
      <w:hyperlink r:id="rId5" w:history="1">
        <w:r w:rsidRPr="004D5EAE">
          <w:rPr>
            <w:rStyle w:val="Hyperlink"/>
            <w:rFonts w:ascii="Times New Roman" w:hAnsi="Times New Roman" w:cs="Times New Roman"/>
            <w:sz w:val="26"/>
            <w:szCs w:val="26"/>
          </w:rPr>
          <w:t>https://heyzine.com/flip-book/dbb79a4602.html</w:t>
        </w:r>
      </w:hyperlink>
    </w:p>
    <w:p w14:paraId="74DF35E9" w14:textId="77777777" w:rsidR="004D5EAE" w:rsidRPr="004D5EAE" w:rsidRDefault="004D5EAE" w:rsidP="004D5EAE">
      <w:pPr>
        <w:numPr>
          <w:ilvl w:val="0"/>
          <w:numId w:val="2"/>
        </w:numPr>
        <w:jc w:val="both"/>
        <w:rPr>
          <w:rFonts w:ascii="Times New Roman" w:hAnsi="Times New Roman" w:cs="Times New Roman"/>
          <w:sz w:val="26"/>
          <w:szCs w:val="26"/>
        </w:rPr>
      </w:pPr>
      <w:r w:rsidRPr="004D5EAE">
        <w:rPr>
          <w:rFonts w:ascii="Times New Roman" w:hAnsi="Times New Roman" w:cs="Times New Roman"/>
          <w:b/>
          <w:bCs/>
          <w:sz w:val="26"/>
          <w:szCs w:val="26"/>
        </w:rPr>
        <w:t>Truy cập thư mục tài liệu:</w:t>
      </w:r>
      <w:r w:rsidRPr="004D5EAE">
        <w:rPr>
          <w:rFonts w:ascii="Times New Roman" w:hAnsi="Times New Roman" w:cs="Times New Roman"/>
          <w:sz w:val="26"/>
          <w:szCs w:val="26"/>
        </w:rPr>
        <w:t xml:space="preserve"> </w:t>
      </w:r>
      <w:hyperlink r:id="rId6" w:history="1">
        <w:r w:rsidRPr="004D5EAE">
          <w:rPr>
            <w:rStyle w:val="Hyperlink"/>
            <w:rFonts w:ascii="Times New Roman" w:hAnsi="Times New Roman" w:cs="Times New Roman"/>
            <w:sz w:val="26"/>
            <w:szCs w:val="26"/>
          </w:rPr>
          <w:t>https://drive.google.com/drive/folders/1c-tOkWDd38GCLfK8yR5bMx830L_eKr3z?usp=drive_link</w:t>
        </w:r>
      </w:hyperlink>
    </w:p>
    <w:p w14:paraId="322417FE"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Quý doanh nghiệp có thể sử dụng tài liệu làm nguồn tham khảo trong quá trình rà soát điều kiện, chuẩn bị hồ sơ và thực hiện thủ tục hoàn thuế GTGT.</w:t>
      </w:r>
    </w:p>
    <w:p w14:paraId="2DB937ED" w14:textId="77777777" w:rsidR="004D5EAE" w:rsidRPr="004D5EAE" w:rsidRDefault="004D5EAE" w:rsidP="004D5EAE">
      <w:pPr>
        <w:jc w:val="both"/>
        <w:rPr>
          <w:rFonts w:ascii="Times New Roman" w:hAnsi="Times New Roman" w:cs="Times New Roman"/>
          <w:b/>
          <w:bCs/>
          <w:sz w:val="26"/>
          <w:szCs w:val="26"/>
        </w:rPr>
      </w:pPr>
      <w:r w:rsidRPr="004D5EAE">
        <w:rPr>
          <w:rFonts w:ascii="Times New Roman" w:hAnsi="Times New Roman" w:cs="Times New Roman"/>
          <w:b/>
          <w:bCs/>
          <w:sz w:val="26"/>
          <w:szCs w:val="26"/>
        </w:rPr>
        <w:t>5. THTAX đồng hành cùng doanh nghiệp trong công tác thuế</w:t>
      </w:r>
    </w:p>
    <w:p w14:paraId="35A351F8" w14:textId="77777777" w:rsidR="004D5EAE" w:rsidRPr="004D5EAE" w:rsidRDefault="004D5EAE" w:rsidP="004D5EAE">
      <w:pPr>
        <w:jc w:val="both"/>
        <w:rPr>
          <w:rFonts w:ascii="Times New Roman" w:hAnsi="Times New Roman" w:cs="Times New Roman"/>
          <w:sz w:val="26"/>
          <w:szCs w:val="26"/>
        </w:rPr>
      </w:pPr>
      <w:r w:rsidRPr="004D5EAE">
        <w:rPr>
          <w:rFonts w:ascii="Times New Roman" w:hAnsi="Times New Roman" w:cs="Times New Roman"/>
          <w:sz w:val="26"/>
          <w:szCs w:val="26"/>
        </w:rPr>
        <w:t>Với kinh nghiệm trong lĩnh vực kế toán, đại lý thuế và tư vấn doanh nghiệp, THTAX cung cấp các dịch vụ hỗ trợ:</w:t>
      </w:r>
    </w:p>
    <w:p w14:paraId="558C6CE3" w14:textId="77777777" w:rsidR="004D5EAE" w:rsidRPr="004D5EAE" w:rsidRDefault="004D5EAE" w:rsidP="004D5EAE">
      <w:pPr>
        <w:numPr>
          <w:ilvl w:val="0"/>
          <w:numId w:val="3"/>
        </w:numPr>
        <w:jc w:val="both"/>
        <w:rPr>
          <w:rFonts w:ascii="Times New Roman" w:hAnsi="Times New Roman" w:cs="Times New Roman"/>
          <w:sz w:val="26"/>
          <w:szCs w:val="26"/>
        </w:rPr>
      </w:pPr>
      <w:r w:rsidRPr="004D5EAE">
        <w:rPr>
          <w:rFonts w:ascii="Times New Roman" w:hAnsi="Times New Roman" w:cs="Times New Roman"/>
          <w:sz w:val="26"/>
          <w:szCs w:val="26"/>
        </w:rPr>
        <w:t>Rà soát điều kiện và hồ sơ hoàn thuế GTGT.</w:t>
      </w:r>
    </w:p>
    <w:p w14:paraId="073A197C" w14:textId="77777777" w:rsidR="004D5EAE" w:rsidRPr="004D5EAE" w:rsidRDefault="004D5EAE" w:rsidP="004D5EAE">
      <w:pPr>
        <w:numPr>
          <w:ilvl w:val="0"/>
          <w:numId w:val="3"/>
        </w:numPr>
        <w:jc w:val="both"/>
        <w:rPr>
          <w:rFonts w:ascii="Times New Roman" w:hAnsi="Times New Roman" w:cs="Times New Roman"/>
          <w:sz w:val="26"/>
          <w:szCs w:val="26"/>
        </w:rPr>
      </w:pPr>
      <w:r w:rsidRPr="004D5EAE">
        <w:rPr>
          <w:rFonts w:ascii="Times New Roman" w:hAnsi="Times New Roman" w:cs="Times New Roman"/>
          <w:sz w:val="26"/>
          <w:szCs w:val="26"/>
        </w:rPr>
        <w:t>Kiểm tra, đối chiếu hóa đơn, chứng từ, sổ kế toán và tờ khai thuế.</w:t>
      </w:r>
    </w:p>
    <w:p w14:paraId="5AF0556E" w14:textId="77777777" w:rsidR="004D5EAE" w:rsidRPr="004D5EAE" w:rsidRDefault="004D5EAE" w:rsidP="004D5EAE">
      <w:pPr>
        <w:numPr>
          <w:ilvl w:val="0"/>
          <w:numId w:val="3"/>
        </w:numPr>
        <w:jc w:val="both"/>
        <w:rPr>
          <w:rFonts w:ascii="Times New Roman" w:hAnsi="Times New Roman" w:cs="Times New Roman"/>
          <w:sz w:val="26"/>
          <w:szCs w:val="26"/>
        </w:rPr>
      </w:pPr>
      <w:r w:rsidRPr="004D5EAE">
        <w:rPr>
          <w:rFonts w:ascii="Times New Roman" w:hAnsi="Times New Roman" w:cs="Times New Roman"/>
          <w:sz w:val="26"/>
          <w:szCs w:val="26"/>
        </w:rPr>
        <w:t>Tư vấn phương án xử lý sai sót, rủi ro về hồ sơ thuế.</w:t>
      </w:r>
    </w:p>
    <w:p w14:paraId="510A3D51" w14:textId="77777777" w:rsidR="004D5EAE" w:rsidRPr="004D5EAE" w:rsidRDefault="004D5EAE" w:rsidP="004D5EAE">
      <w:pPr>
        <w:numPr>
          <w:ilvl w:val="0"/>
          <w:numId w:val="3"/>
        </w:numPr>
        <w:jc w:val="both"/>
        <w:rPr>
          <w:rFonts w:ascii="Times New Roman" w:hAnsi="Times New Roman" w:cs="Times New Roman"/>
          <w:sz w:val="26"/>
          <w:szCs w:val="26"/>
        </w:rPr>
      </w:pPr>
      <w:r w:rsidRPr="004D5EAE">
        <w:rPr>
          <w:rFonts w:ascii="Times New Roman" w:hAnsi="Times New Roman" w:cs="Times New Roman"/>
          <w:sz w:val="26"/>
          <w:szCs w:val="26"/>
        </w:rPr>
        <w:t>Hỗ trợ chuẩn bị hồ sơ và giải trình với cơ quan thuế theo phạm vi dịch vụ được thỏa thuận.</w:t>
      </w:r>
    </w:p>
    <w:p w14:paraId="10DF3CE5"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b/>
          <w:bCs/>
          <w:sz w:val="26"/>
          <w:szCs w:val="26"/>
        </w:rPr>
        <w:t>CÔNG TY TNHH ĐÀO TẠO VÀ TƯ VẤN THTAX</w:t>
      </w:r>
    </w:p>
    <w:p w14:paraId="5F2FE951"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sz w:val="26"/>
          <w:szCs w:val="26"/>
        </w:rPr>
        <w:t xml:space="preserve">Website: </w:t>
      </w:r>
      <w:hyperlink r:id="rId7" w:history="1">
        <w:r w:rsidRPr="004D5EAE">
          <w:rPr>
            <w:rStyle w:val="Hyperlink"/>
            <w:rFonts w:ascii="Times New Roman" w:hAnsi="Times New Roman" w:cs="Times New Roman"/>
            <w:sz w:val="26"/>
            <w:szCs w:val="26"/>
          </w:rPr>
          <w:t>www.thtax.vn</w:t>
        </w:r>
      </w:hyperlink>
    </w:p>
    <w:p w14:paraId="4C16B73F"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sz w:val="26"/>
          <w:szCs w:val="26"/>
        </w:rPr>
        <w:t xml:space="preserve">Email: </w:t>
      </w:r>
      <w:hyperlink r:id="rId8" w:history="1">
        <w:r w:rsidRPr="004D5EAE">
          <w:rPr>
            <w:rStyle w:val="Hyperlink"/>
            <w:rFonts w:ascii="Times New Roman" w:hAnsi="Times New Roman" w:cs="Times New Roman"/>
            <w:sz w:val="26"/>
            <w:szCs w:val="26"/>
          </w:rPr>
          <w:t>ketoan@thtax.vn</w:t>
        </w:r>
      </w:hyperlink>
    </w:p>
    <w:p w14:paraId="1E80B82B"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b/>
          <w:bCs/>
          <w:sz w:val="26"/>
          <w:szCs w:val="26"/>
        </w:rPr>
        <w:t>THTAX – Nâng tầm Doanh nghiệp – Kiến tạo Thịnh vượng</w:t>
      </w:r>
    </w:p>
    <w:p w14:paraId="4B25F9A6"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sz w:val="26"/>
          <w:szCs w:val="26"/>
        </w:rPr>
        <w:pict w14:anchorId="414C9385">
          <v:rect id="_x0000_i1031" style="width:0;height:1.5pt" o:hralign="center" o:hrstd="t" o:hr="t" fillcolor="#a0a0a0" stroked="f"/>
        </w:pict>
      </w:r>
    </w:p>
    <w:p w14:paraId="0AE73FB5"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i/>
          <w:iCs/>
          <w:sz w:val="26"/>
          <w:szCs w:val="26"/>
        </w:rPr>
        <w:t>Nguồn thông tin: Thuế TP. Hà Nội; bài viết “Thuế TP. Hà Nội ban hành Sổ tay hoàn thuế giá trị gia tăng dành cho người nộp thuế”, đăng ngày 29/09/2026 trên Tạp chí Luật sư Việt Nam.</w:t>
      </w:r>
    </w:p>
    <w:p w14:paraId="6483B388" w14:textId="77777777" w:rsidR="004D5EAE" w:rsidRPr="004D5EAE" w:rsidRDefault="004D5EAE" w:rsidP="004D5EAE">
      <w:pPr>
        <w:rPr>
          <w:rFonts w:ascii="Times New Roman" w:hAnsi="Times New Roman" w:cs="Times New Roman"/>
          <w:sz w:val="26"/>
          <w:szCs w:val="26"/>
        </w:rPr>
      </w:pPr>
      <w:r w:rsidRPr="004D5EAE">
        <w:rPr>
          <w:rFonts w:ascii="Times New Roman" w:hAnsi="Times New Roman" w:cs="Times New Roman"/>
          <w:i/>
          <w:iCs/>
          <w:sz w:val="26"/>
          <w:szCs w:val="26"/>
        </w:rPr>
        <w:t>Lưu ý: Sổ tay là tài liệu hướng dẫn, tham khảo. Việc xác định điều kiện và hồ sơ hoàn thuế cần căn cứ vào quy định pháp luật áp dụng đối với từng trường hợp cụ thể.</w:t>
      </w:r>
    </w:p>
    <w:p w14:paraId="02D8F330" w14:textId="77777777" w:rsidR="00655F07" w:rsidRPr="004D5EAE" w:rsidRDefault="00655F07">
      <w:pPr>
        <w:rPr>
          <w:rFonts w:ascii="Times New Roman" w:hAnsi="Times New Roman" w:cs="Times New Roman"/>
          <w:sz w:val="26"/>
          <w:szCs w:val="26"/>
        </w:rPr>
      </w:pPr>
    </w:p>
    <w:sectPr w:rsidR="00655F07" w:rsidRPr="004D5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10AB0"/>
    <w:multiLevelType w:val="multilevel"/>
    <w:tmpl w:val="6DA8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42FAD"/>
    <w:multiLevelType w:val="multilevel"/>
    <w:tmpl w:val="60A6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9281E"/>
    <w:multiLevelType w:val="multilevel"/>
    <w:tmpl w:val="78E8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740784">
    <w:abstractNumId w:val="2"/>
  </w:num>
  <w:num w:numId="2" w16cid:durableId="449786523">
    <w:abstractNumId w:val="1"/>
  </w:num>
  <w:num w:numId="3" w16cid:durableId="210063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AE"/>
    <w:rsid w:val="004B4975"/>
    <w:rsid w:val="004D5EAE"/>
    <w:rsid w:val="005D34FC"/>
    <w:rsid w:val="005E3072"/>
    <w:rsid w:val="00655F07"/>
    <w:rsid w:val="00666E41"/>
    <w:rsid w:val="00B520B2"/>
    <w:rsid w:val="00DE785D"/>
    <w:rsid w:val="00E34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41F76"/>
  <w15:chartTrackingRefBased/>
  <w15:docId w15:val="{6D65C1D6-A086-4F54-9A6E-FAD9A33ED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E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5E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5E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5E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5E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5E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E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E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E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E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5E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5E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5E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5E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5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EAE"/>
    <w:rPr>
      <w:rFonts w:eastAsiaTheme="majorEastAsia" w:cstheme="majorBidi"/>
      <w:color w:val="272727" w:themeColor="text1" w:themeTint="D8"/>
    </w:rPr>
  </w:style>
  <w:style w:type="paragraph" w:styleId="Title">
    <w:name w:val="Title"/>
    <w:basedOn w:val="Normal"/>
    <w:next w:val="Normal"/>
    <w:link w:val="TitleChar"/>
    <w:uiPriority w:val="10"/>
    <w:qFormat/>
    <w:rsid w:val="004D5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EAE"/>
    <w:pPr>
      <w:spacing w:before="160"/>
      <w:jc w:val="center"/>
    </w:pPr>
    <w:rPr>
      <w:i/>
      <w:iCs/>
      <w:color w:val="404040" w:themeColor="text1" w:themeTint="BF"/>
    </w:rPr>
  </w:style>
  <w:style w:type="character" w:customStyle="1" w:styleId="QuoteChar">
    <w:name w:val="Quote Char"/>
    <w:basedOn w:val="DefaultParagraphFont"/>
    <w:link w:val="Quote"/>
    <w:uiPriority w:val="29"/>
    <w:rsid w:val="004D5EAE"/>
    <w:rPr>
      <w:i/>
      <w:iCs/>
      <w:color w:val="404040" w:themeColor="text1" w:themeTint="BF"/>
    </w:rPr>
  </w:style>
  <w:style w:type="paragraph" w:styleId="ListParagraph">
    <w:name w:val="List Paragraph"/>
    <w:basedOn w:val="Normal"/>
    <w:uiPriority w:val="34"/>
    <w:qFormat/>
    <w:rsid w:val="004D5EAE"/>
    <w:pPr>
      <w:ind w:left="720"/>
      <w:contextualSpacing/>
    </w:pPr>
  </w:style>
  <w:style w:type="character" w:styleId="IntenseEmphasis">
    <w:name w:val="Intense Emphasis"/>
    <w:basedOn w:val="DefaultParagraphFont"/>
    <w:uiPriority w:val="21"/>
    <w:qFormat/>
    <w:rsid w:val="004D5EAE"/>
    <w:rPr>
      <w:i/>
      <w:iCs/>
      <w:color w:val="2F5496" w:themeColor="accent1" w:themeShade="BF"/>
    </w:rPr>
  </w:style>
  <w:style w:type="paragraph" w:styleId="IntenseQuote">
    <w:name w:val="Intense Quote"/>
    <w:basedOn w:val="Normal"/>
    <w:next w:val="Normal"/>
    <w:link w:val="IntenseQuoteChar"/>
    <w:uiPriority w:val="30"/>
    <w:qFormat/>
    <w:rsid w:val="004D5E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5EAE"/>
    <w:rPr>
      <w:i/>
      <w:iCs/>
      <w:color w:val="2F5496" w:themeColor="accent1" w:themeShade="BF"/>
    </w:rPr>
  </w:style>
  <w:style w:type="character" w:styleId="IntenseReference">
    <w:name w:val="Intense Reference"/>
    <w:basedOn w:val="DefaultParagraphFont"/>
    <w:uiPriority w:val="32"/>
    <w:qFormat/>
    <w:rsid w:val="004D5EAE"/>
    <w:rPr>
      <w:b/>
      <w:bCs/>
      <w:smallCaps/>
      <w:color w:val="2F5496" w:themeColor="accent1" w:themeShade="BF"/>
      <w:spacing w:val="5"/>
    </w:rPr>
  </w:style>
  <w:style w:type="character" w:styleId="Hyperlink">
    <w:name w:val="Hyperlink"/>
    <w:basedOn w:val="DefaultParagraphFont"/>
    <w:uiPriority w:val="99"/>
    <w:unhideWhenUsed/>
    <w:rsid w:val="004D5EAE"/>
    <w:rPr>
      <w:color w:val="0563C1" w:themeColor="hyperlink"/>
      <w:u w:val="single"/>
    </w:rPr>
  </w:style>
  <w:style w:type="character" w:styleId="UnresolvedMention">
    <w:name w:val="Unresolved Mention"/>
    <w:basedOn w:val="DefaultParagraphFont"/>
    <w:uiPriority w:val="99"/>
    <w:semiHidden/>
    <w:unhideWhenUsed/>
    <w:rsid w:val="004D5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toan@thtax.vn" TargetMode="External"/><Relationship Id="rId3" Type="http://schemas.openxmlformats.org/officeDocument/2006/relationships/settings" Target="settings.xml"/><Relationship Id="rId7" Type="http://schemas.openxmlformats.org/officeDocument/2006/relationships/hyperlink" Target="http://www.thtax.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c-tOkWDd38GCLfK8yR5bMx830L_eKr3z?usp=drive_link" TargetMode="External"/><Relationship Id="rId5" Type="http://schemas.openxmlformats.org/officeDocument/2006/relationships/hyperlink" Target="https://heyzine.com/flip-book/dbb79a4602.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804</Words>
  <Characters>4584</Characters>
  <Application>Microsoft Office Word</Application>
  <DocSecurity>0</DocSecurity>
  <Lines>38</Lines>
  <Paragraphs>10</Paragraphs>
  <ScaleCrop>false</ScaleCrop>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Nam Trang</dc:creator>
  <cp:keywords/>
  <dc:description/>
  <cp:lastModifiedBy>Phạm Thị Nam Trang</cp:lastModifiedBy>
  <cp:revision>1</cp:revision>
  <dcterms:created xsi:type="dcterms:W3CDTF">2026-10-16T02:51:00Z</dcterms:created>
  <dcterms:modified xsi:type="dcterms:W3CDTF">2026-10-16T02:54:00Z</dcterms:modified>
</cp:coreProperties>
</file>